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0E3F63DD" w:rsidR="006B1AEA" w:rsidRDefault="00161984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02C474" wp14:editId="30E6DD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75D0C474" wp14:editId="2F33A0BB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6C91" w14:textId="77777777" w:rsidR="00161984" w:rsidRDefault="00161984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64C6DCD2" w14:textId="29CF5EE9" w:rsidR="006B1AEA" w:rsidRDefault="00000000" w:rsidP="00161984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1378C852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55F9961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nivel preparatoria y licenciatura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r w:rsidR="00072947">
        <w:rPr>
          <w:rFonts w:ascii="Arial" w:eastAsia="Arial" w:hAnsi="Arial" w:cs="Arial"/>
          <w:b/>
          <w:sz w:val="28"/>
          <w:szCs w:val="28"/>
        </w:rPr>
        <w:t>Quemados Mixto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369C67EC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161984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161984">
        <w:rPr>
          <w:rFonts w:ascii="Arial" w:eastAsia="Arial" w:hAnsi="Arial" w:cs="Arial"/>
        </w:rPr>
        <w:t>4</w:t>
      </w:r>
    </w:p>
    <w:p w14:paraId="584A7099" w14:textId="0B8DACB0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294BA8A5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56918899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34D2618D" w14:textId="55D7E016" w:rsidR="00D91028" w:rsidRDefault="00D91028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equipo deberá estar conformado por estudiantes del mismo decanato. Se permitirán solamente dos integrantes por equipo de un decanato distinto.</w:t>
      </w:r>
      <w:r w:rsidR="00FE5624">
        <w:rPr>
          <w:rFonts w:ascii="Arial" w:eastAsia="Arial" w:hAnsi="Arial" w:cs="Arial"/>
        </w:rPr>
        <w:t xml:space="preserve"> El número mínimo de integrantes por equipo para inscribirse es de 6 personas.</w:t>
      </w:r>
    </w:p>
    <w:p w14:paraId="004C97D1" w14:textId="28C5973D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viernes </w:t>
      </w:r>
      <w:r w:rsidR="00161984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161984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3EB0B0F6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161984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actividades se desarrollarán en las Instalaciones Deportivas de Ciudad Universitaria.</w:t>
      </w:r>
    </w:p>
    <w:p w14:paraId="320AD025" w14:textId="58A2064B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partidos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16198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24266B74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161984" w:rsidRPr="00292F62">
          <w:rPr>
            <w:rStyle w:val="Hipervnculo"/>
            <w:rFonts w:ascii="Arial" w:eastAsia="Arial" w:hAnsi="Arial" w:cs="Arial"/>
          </w:rPr>
          <w:t>https://forms.gle/6wVzDFcCuxEF1Dtu5</w:t>
        </w:r>
      </w:hyperlink>
      <w:r w:rsidR="0016198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se cierra hasta el </w:t>
      </w:r>
      <w:r w:rsidR="00161984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497F9AD4" w:rsidR="00161984" w:rsidRDefault="00000000" w:rsidP="00161984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2BA8B589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61984"/>
    <w:rsid w:val="00263138"/>
    <w:rsid w:val="00547EFF"/>
    <w:rsid w:val="00665612"/>
    <w:rsid w:val="006B1AEA"/>
    <w:rsid w:val="0095099A"/>
    <w:rsid w:val="00D91028"/>
    <w:rsid w:val="00F53D28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wVzDFcCuxEF1Dtu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2024-07-26T18:28:00Z</dcterms:created>
  <dcterms:modified xsi:type="dcterms:W3CDTF">2024-07-26T18:28:00Z</dcterms:modified>
</cp:coreProperties>
</file>